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557 vom 30. November 1977</w:t>
      </w:r>
    </w:p>
    <w:p>
      <w:r>
        <w:t>Bundesgericht (BGE), 1977-11-30, DE</w:t>
      </w:r>
    </w:p>
    <w:p>
      <w:r>
        <w:rPr>
          <w:b/>
        </w:rPr>
        <w:t xml:space="preserve">Quelle: </w:t>
      </w:r>
      <w:r>
        <w:t>https://mcp.opencaselaw.ch/entscheid/bge_103 IA 557</w:t>
      </w:r>
    </w:p>
    <w:p>
      <w:r>
        <w:t>FR: BGE 103 IA 557 du 30 novembre 1977</w:t>
      </w:r>
    </w:p>
    <w:p>
      <w:r>
        <w:t>IT: BGE 103 IA 557 del 30 novembre 1977</w:t>
      </w:r>
    </w:p>
    <w:p>
      <w:pPr>
        <w:pStyle w:val="Heading2"/>
      </w:pPr>
      <w:r>
        <w:t>Regeste</w:t>
      </w:r>
    </w:p>
    <w:p>
      <w:r>
        <w:t>Regeste Art. 85 lit. a OG; Durchführung der Gemeindewahlen nach dem Proporzsystem; Verteilung der Restmandate. 1. Im Verfahren der konkreten Normenkontrolle prüft das Bundesgericht nur, wie es sich mit der Verfassungsmässigkeit der beanstandeten Norm bei Anwendung auf die konkreten Umstände des Beschwerdefalles verhält (E. 3a). 2. Kognition des Bundesgerichts bei der Stimmrechtsbeschwerde, insbes. in bezug auf die Auslegung des kant. Verfassungsrechts (E. 3b). 3. Vereinbarkeit von Art. 67 Abs. 1 WahlG-VS, wonach an der Verteilung der Restmandate nur jene Wahllisten teilnehmen, die bei der ersten Verteilung mindestens einen Sitz erlangt haben, mit Art. 87 Abs. 1 KV-VS, wonach die Gemeindewahlen "nach dem Proporzsystem" durchzuführen sind (E. 3c).</w:t>
      </w:r>
    </w:p>
    <w:p>
      <w:pPr>
        <w:pStyle w:val="Heading2"/>
      </w:pPr>
      <w:r>
        <w:t>Erwägungen</w:t>
      </w:r>
    </w:p>
    <w:p>
      <w:r>
        <w:rPr>
          <w:b/>
        </w:rPr>
        <w:t>E. 2</w:t>
      </w:r>
    </w:p>
    <w:p>
      <w:r>
        <w:t>a) Art. 87 Abs. 1 der Walliser Kantonsverfassung bestimmt, dass die Gemeindewahlen nach dem Proporzsystem durchgeführt werden, es sei denn, die kommunale Urversammlung BGE 103 Ia 557 S. 559 entscheide sich mit 4/5 Mehrheit für das Majorzsystem. Art. 87 Abs. 4 KV sodann sieht vor, dass die Anwendung dieses Grundsatzes durch das Gesetz geregelt wird. Der Walliser Gesetzgeber ist diesem Auftrag in den Art. 78 ff. des Wahlgesetzes nachgekommen, wo insbesondere vorgesehen ist, dass für die nach dem Proporzsystem durchzuführenden Gemeindewahlen die Vorschriften Anwendung finden, die gemäss den Art. 62 ff. für die Wahl des Grossen Rates gelten. Danach erfolgt die Verteilung der Sitze auf die verschiedenen Listen im Verhältnis zu den erzielten Parteistimmen. Nach Ausschluss derjenigen Listen, die das Quorum von 10% des Parteistimmentotals nicht erreicht haben, erhalten die übrigen Listen bei der ersten Verteilung so viele Sitze, als die nach Art. 66 Abs. 1 WahlG zu ermittelnde Wahlzahl in den erzielten Parteistimmenzahlen enthalten ist. Die Wahlzahl wird dabei so berechnet, dass das Stimmentotal durch die um eins erhöhte Zahl der zu bestellenden Mandate dividiert und die sich ergebende Zahl auf die nächsthöhere ganze aufgerundet wird (Art. 65 und 66 WahlG). Für die zweite Verteilung enthält Art. 67 Abs. 1 WahlG folgende Regelung: "Wenn nach dieser Verteilung nicht alle Sitze zugewiesen sind, wird die Gesamtstimmenzahl jeder Liste, die bei der ersten Verteilung einen Sitz erlangt hat, durch die um eins erhöhte Zahl der ihr zugeteilten Sitze geteilt und der erste unverteilte Sitz wird jener Liste zugewiesen, die den grössten Quotienten aufwies." b) Die Beschwerdeführer anerkennen, dass die Liste der Freien Wähler nur 412 Parteistimmen erzielte und dass dies bei einer Wahlzahl von 466 nicht reichte, um bei der ersten Verteilung einen Sitz zu erhalten. Sie machen jedoch geltend, die Liste hätte bei der zweiten Verteilung berücksichtigt werden müssen, weil der Vorschrift von Art. 67 WahlG nicht in klarer Weise entnommen werden könne, dass bei der ersten Verteilung erfolglos gebliebene Listen von der zweiten Verteilung ausgeschlossen seien. Diese Rüge ist jedoch offensichtlich unbegründet. Aus dem Wortlaut von Art. 67 Abs. 1 WahlG geht in eindeutiger Weise hervor, dass bei der zweiten Verteilung lediglich diejenigen Listen zu berücksichtigen sind, die bei der ersten Verteilung einen Sitz erlangt haben, und es bestehen keinerlei Anzeichen dafür, dass dieser Wortlaut den Sinn der Vorschrift nicht richtig wiedergebe. Es kann deshalb nicht gesagt werden, der Staatsrat habe Art. 67 Abs. 1 WahlG unrichtig angewandt, BGE 103 Ia 557 S. 560 wenn er die Zuteilung des Restmandates an die Freien Wähler ablehnte.</w:t>
      </w:r>
    </w:p>
    <w:p>
      <w:r>
        <w:rPr>
          <w:b/>
        </w:rPr>
        <w:t>E. 3</w:t>
      </w:r>
    </w:p>
    <w:p>
      <w:r>
        <w:t>Die Beschwerdeführer machen weiter geltend, Art. 67 Abs. 1 WahlG sei mit der Kantonsverfassung unvereinbar, wenn er in der beschriebenen Weise ausgelegt werde. Unter diesen Umständen bilde die Kombination von Quorum und Wahlzahl in all denjenigen Wahlkreisen, in welchen weniger als neun Sitze zu verteilen seien, eine selbst für bedeutende Minderheiten unüberwindbare Schranke. In diesen Wahlkreisen sei die Wahlzahl nämlich höher als die zur Erreichung des Quorums notwendige Parteistimmenzahl, was häufig zur Folge habe, dass Parteien, die das Quorum erreicht hätten, bei der ersten Verteilung keinen Sitz zugeteilt erhielten und deshalb auch bei der Verteilung der Restmandate unberücksichtigt blieben. Diese Regelung sei mit dem System des Proporzwahlverfahrens nicht vereinbar. Damit machen die Beschwerdeführer geltend, die beanstandete Bestimmung des Wahlgesetzes verletze Art. 87 Abs. 1 KV, wonach die Gemeindewahlen - unter Vorbehalt eines gegenteiligen Beschlusses der Urversammlung - "nach dem Proporzsystem" durchzuführen sind. a) Nach der Rechtsprechung des Bundesgerichts kann die Verfassungswidrigkeit einer allgemeinen Norm auch noch im Anschluss an eine darauf gestützte Anwendungsverfügung gerügt werden. Erweist sich dieser Vorwurf als begründet, so führt dies freilich nicht zur Aufhebung der beanstandeten Vorschrift, sondern bloss zur Kassation des angefochtenen Entscheids ( BGE 102 Ia 326 ). Auch diese Rechtsfolge kann aber nur eintreten, wenn sich die Vorschrift eben bei Anwendung auf die konkreten Umstände des Beschwerdefalles als verfassungswidrig herausstellt. Im Verfahren der konkreten Normenkontrolle ist einzig diese Frage zu prüfen, und das Bundesgericht hat nicht zu untersuchen, wie es sich mit der Verfassungsmässigkeit der Norm unter anderen als den Verhältnissen des streitigen Anwendungsaktes verhält. Im vorliegenden Fall bedeutet das, dass der Einspracheentscheid des Staatsrates nur dann zu kassieren ist, wenn die Beschwerdeführer dartun können, dass Art. 67 Abs. 1 WahlG bei Anwendung auf die Grächener Gemeinderatswahlen mit dem Proporzsystem (Art. 87 Abs. 1 KV) unvereinbar ist. b) Bei Beschwerden betreffend die politische Stimmberechtigung und betreffend kantonale Wahlen und Abstimmungen BGE 103 Ia 557 S. 561 ( Art. 85 lit. a OG ) überprüft das Bundesgericht nicht nur die Auslegung von Bundesrecht und kantonalem Verfassungsrecht frei, sondern auch die Auslegung anderer kantonaler Vorschriften, welche den Inhalt des Stimm- und Wahlrechts normieren oder mit diesem in engem Zusammenhang stehen. In ausgesprochenen Zweifelsfällen schliesst es sich jedoch der von der obersten kantonalen Behörde vertretenen Auslegung an ( BGE 103 Ia 155 E. 2c; BGE 101 Ia 232 E. 1; BGE 100 Ia 238 mit Hinweisen). Art. 87 Abs. 1 der Walliser Kantonsverfassung sieht vor, dass die Gemeindewahlen - unter Vorbehalt eines gegenteiligen Beschlusses der kommunalen Urversammlung - "nach dem Proporzsystem" durchgeführt werden. Welcher Art dieses Proporzsystem ist, regelt die Verfassung nicht, sondern sie überlässt es ausdrücklich der Gesetzgebung, hierüber die näheren Vorschriften aufzustellen. Wie das Bundesgericht schon in einem früheren Fall ausgeführt hat (Urteil Geissbühler vom 28. März 1962, in JdT 110/1962, I, S. 271 ff.), besteht nicht "ein" bestimmtes Proporzsystem, sondern gibt es verschiedene Möglichkeiten, ein Verhältniswahlverfahren zu schaffen. Zwischen diesen Möglichkeiten kann sich der kantonale Gesetzgeber, dem die Verfassung in allgemeiner Weise die Ausgestaltung des Wahlverfahrens nach dem Proporzsystem aufgetragen hat, frei entscheiden, und es ist nicht Sache des Bundesgerichts, in diesen Gestaltungsspielraum einzugreifen und seine Beurteilung an diejenige der kantonalen Behörde zu setzen. Das Bundesgericht schreitet vielmehr nur dann ein, wenn die getroffene Lösung nicht mehr als proportionales Wahlverfahren bezeichnet werden kann und sie damit zur kantonalen Verfassungsvorschrift in Widerspruch steht. In BGE 100 Ia 268 wurde ausgeführt, die Überprüfung des Bundesgerichts beschränke sich auf Willkür, wenn die kantonale Behörde unmittelbar gestützt auf eine Verfassungsbestimmung gehandelt habe, die ihr hinsichtlich der Wahl der zu treffenden Massnahmen einen Ermessensbereich einräume. Mit dieser Umschreibung, die zu Missverständnissen Anlass geben kann, wollte nicht zum Ausdruck gebracht werden, dass das Bundesgericht die Auslegung des kantonalen Verfassungsrechts unter den erwähnten Umständen nicht frei, sondern nur mit beschränkter Kognition überprüfe. Im damaligen Fall war in der Kantonsverfassung vorgesehen, dass der Regierungsrat bei Unfähigkeit einer Gemeinde, einzelne Zweige der Gemeindeverwaltung BGE 103 Ia 557 S. 562 zu ordnen, "die erforderlichen Massnahmen" treffe. Mit der in BGE 100 Ia 268 verwendeten Formulierung wollte gesagt sein, dass das Bundesgericht den Inhalt einer solchen, von der Verfassung in das Ermessen der kantonalen Behörde gestellten Massnahme nur darauf hin überprüfe, ob die Behörde bei der Ausübung ihres Ermessens in Willkür verfallen sei. Ein anderer Schluss ist aus jenem Entscheid, der in diesem Sinne klargestellt werden soll, nicht zu ziehen. c) Ein proportionales Wahlverfahren kennzeichnet sich seinem Ziel nach dadurch, dass es den verschiedenen Gruppierungen, die sich an den Wahlen beteiligen, eine zahlenmässige Vertretung in den zu bestellenden staatlichen Organen ermöglicht, die ihrem Wähleranteil weitgehend entspricht (vgl. die Botschaft des Bundesrates betreffend das Volksbegehren um Einführung der Verhältniswahl für Wahlen in den schweizerischen Nationalrat, BBl 1914, II, S. 124; ferner den Bericht der Studienkommission zur Prüfung von Reformvorschlägen für die Wahl des Nationalrates und das Stimmrechtsalter, Bern 1972, S. 26, im folgenden: Reformbericht; Urteil Geissbühler, E. 3). Es ist indes eine Erfahrungstatsache, dass ein solches Wahlverfahren leicht zu einer Zersplitterung der politischen Gruppierungen führt und dass diese Erscheinung die wirksame Erfüllung der öffentlichen Aufgaben erschwert. Das Bundesgericht hat deshalb anerkannt, dass der kantonale Gesetzgeber Vorkehren gegen diese nachteiligen Folgen des Verhältniswahlverfahrens treffen kann, und dass ihm das auch dann zusteht, wenn die Kantonsverfassung ohne nähere Präzisierung von der Ausgestaltung des Wahlverfahrens "nach dem Proporzsystem" spricht (Urteil Geissbühler, E. 3). Als solche Massnahme kommt vorab die Errichtung eines Quorums in Frage, das diejenigen Gruppierungen von der Verteilung der Mandate ausschliesst, die weniger als einen bestimmten Prozentsatz des Stimmentotals erreicht haben. Eine Sperrwirkung wird ferner dadurch erreicht, dass zur Verteilung der Restmandate nur diejenigen Listen zugelassen werden, deren Stimmenzahl die Höhe der Wahlzahl erreicht, und die demnach mindestens ein Vollmandat erzielt haben. Möglich ist schliesslich, wie es in der Walliser Gesetzgebung der Fall ist, dass diese beiden Massnahmen kombiniert werden (vgl. dazu im einzelnen: Reformbericht, S. 15). Es versteht sich jedoch von selbst, dass solchen Einschränkungen Grenzen gesetzt sind und dass sie als unzulässig BGE 103 Ia 557 S. 563 gelten müssen, wenn sie sich nicht nur gegen die dargelegten nachteiligen Auswirkungen des proportionalen Wahlverfahrens richten, sondern das Wesen dieses Wahlsystems verändern (Urteil Geissbühler, E. 3). Die Liste der Freien Wähler erreichte im vorliegenden Fall das Quorum von 10% des Stimmentotals, weshalb auf die Frage, ob die Sperrklausel in dieser Höhe zulässig sei, nicht näher eingegangen werden muss. Es lässt sich aber ohne weiteres feststellen, dass ein solches Quorum nicht beanstandet werden kann, wenn eine Behörde zu wählen ist, die aus lediglich fünf Mitgliedern besteht und ein Sitz demnach einem Stimmenanteil von 20% entspricht (vgl. Urteil Geissbühler, E. 4, hinsichtlich eines Quorums von 15%, das für die Wahl des Grossen Rates vorgesehen war). Es kann aber auch nicht gesagt werden, der Ausschluss der Freien Wähler von der Verteilung des Restmandats, wie Art. 67 WahlG dies für diejenigen Listen vorsieht, die bei der ersten Verteilung ohne Sitz geblieben sind, sei mit dem Proporzsystem unvereinbar. Nach dem Walliser Wahlgesetz hat bei der ersten Verteilung jede Liste, die das erforderliche Quorum erreichte, Anspruch auf soviele Sitze, als die Wahlzahl - die sich aus der Division des Stimmentotals durch die um eins vermehrte Zahl der zu bestellenden Mandate ergibt - in der erzielten Parteistimmenzahl enthalten ist. Im vorliegenden Fall wäre der Liste der Freien Wähler bei der ersten Verteilung demnach ein Sitz zugewiesen worden, wenn sie mindestens einen Sechstel des Stimmentotals erreicht hätte. Wenn diese Liste leer ausging, so geschah dies deshalb, weil sie nicht nur weniger als den einem Mandat genau entsprechenden Stimmenanteil von einem Fünftel erreichte, sondern selbst weniger als einen Sechstel des Stimmentotals auf sich vereinigte. Könnte sie, wie die Beschwerdeführer es verlangen, bei der zweiten Verteilung Anspruch auf das Restmandat erheben, so würde die Liste der Freien Wähler einen grösseren Sitzanteil (einen Fünftel) erhalten, als ihrem Stimmenanteil (weniger als ein Sechstel) entspricht. Darauf gibt Art. 87 KV, der die Durchführung der Gemeindewahlen nach dem Proporzsystem verlangt, jedoch kein Anrecht, und es kann unter den vorliegenden Umständen von einer Verletzung dieser Verfassungsvorschrift nicht gesprochen werden. Die Beschwerdeführer machen zusätzlich geltend, bei Anwendung von Art. 67 WahlG entfalle auf einen Stimmenanteil BGE 103 Ia 557 S. 564 von 41% (Listen Nr. 2 und 3) nur ein einziger Sitz, während auf einen Anteil von 58% (Liste Nr. 1) vier Sitze kämen. Das sei im Rahmen eines proportionalen Wahlverfahrens unhaltbar. Auch dieser Einwand ist unbegründet, denn es waren nicht die Listen Nr. 2 und 3, die mit einem Stimmenanteil von 41% einen Sitz errangen, sondern es war die Liste Nr. 2 allein, die mit 26,9% ein Mandat erreichte. Die Liste Nr. 3 ging, wie bereits dargelegt, leer aus, weil sie weniger als einen Sechstel aller Stimmen auf sich vereinigte, und die Liste Nr. 1 schliesslich erzielte mit einem Stimmenanteil von 58,3% vier Sitze, wovon 3 Vollmandate und das Restmandat. Es trifft freilich zu und widerspiegelt sich in diesen Zahlen, dass die Regelung, wie sie in Art. 67 Abs. 1 WahlG getroffen wurde (Ausschluss der Listen, die bei der ersten Verteilung keinen Sitz erreichten; Verteilung der Restmandate nach dem System des grössten Quotienten) bei der Verteilung der Restmandate die grossen Parteien begünstigt. Sie bewirkt, dass Restmandate eher diesen als den kleinen Parteien zufallen und hat zur Folge, dass eher die grossen als die kleinen Parteien einen höheren Sitzanteil erlangen, als ihrem Stimmenanteil entspricht (vgl. dazu Reformbericht, S. 28). Eine solche Regelung, die der Zersplitterung der politischen Kräfte entgegenwirkt, steht zum proportionalen Wahlsystem jedoch nicht in Widerspruch, und der kantonale Gesetzgeber ist nicht gehalten, einen Verteilungsmodus mit der entgegengesetzten Tendenz vorzusehen. Im gleichen Sinne hat sich das Bundesgericht bereits im nicht veröffentlichten Urteil Torrent vom 17. September 1937 ausgesprochen, wovon abzuweichen kein Anlass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